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8259E0" w:rsidRPr="008259E0" w14:paraId="7314233A" w14:textId="77777777" w:rsidTr="008259E0">
        <w:tc>
          <w:tcPr>
            <w:tcW w:w="2052" w:type="pct"/>
          </w:tcPr>
          <w:p w14:paraId="43E2547D" w14:textId="2AB58028" w:rsidR="008259E0" w:rsidRPr="006362F5" w:rsidRDefault="006362F5" w:rsidP="008259E0">
            <w:pPr>
              <w:jc w:val="center"/>
              <w:rPr>
                <w:rFonts w:ascii="Arial" w:hAnsi="Arial" w:cs="Arial"/>
                <w:color w:val="auto"/>
                <w:sz w:val="20"/>
                <w:szCs w:val="20"/>
                <w:lang w:val="en-US"/>
              </w:rPr>
            </w:pPr>
            <w:r w:rsidRPr="006362F5">
              <w:rPr>
                <w:rFonts w:ascii="Arial" w:hAnsi="Arial" w:cs="Arial"/>
                <w:color w:val="auto"/>
                <w:sz w:val="20"/>
                <w:szCs w:val="20"/>
                <w:lang w:val="en-US"/>
              </w:rPr>
              <w:t>BỘ TÀI CHÍNH</w:t>
            </w:r>
          </w:p>
          <w:p w14:paraId="43DCF381" w14:textId="33BBCC5C" w:rsidR="006362F5" w:rsidRPr="008259E0" w:rsidRDefault="006362F5" w:rsidP="008259E0">
            <w:pPr>
              <w:jc w:val="center"/>
              <w:rPr>
                <w:rFonts w:ascii="Arial" w:hAnsi="Arial" w:cs="Arial"/>
                <w:b/>
                <w:bCs/>
                <w:color w:val="auto"/>
                <w:sz w:val="20"/>
                <w:szCs w:val="20"/>
                <w:lang w:val="en-US"/>
              </w:rPr>
            </w:pPr>
            <w:r>
              <w:rPr>
                <w:rFonts w:ascii="Arial" w:hAnsi="Arial" w:cs="Arial"/>
                <w:b/>
                <w:bCs/>
                <w:color w:val="auto"/>
                <w:sz w:val="20"/>
                <w:szCs w:val="20"/>
                <w:lang w:val="en-US"/>
              </w:rPr>
              <w:t>CỤC THUẾ</w:t>
            </w:r>
          </w:p>
          <w:p w14:paraId="5CD00B89" w14:textId="54C783AB" w:rsidR="008259E0" w:rsidRPr="008259E0" w:rsidRDefault="008259E0" w:rsidP="008259E0">
            <w:pPr>
              <w:jc w:val="center"/>
              <w:rPr>
                <w:rFonts w:ascii="Arial" w:hAnsi="Arial" w:cs="Arial"/>
                <w:bCs/>
                <w:color w:val="auto"/>
                <w:sz w:val="20"/>
                <w:szCs w:val="20"/>
                <w:vertAlign w:val="superscript"/>
                <w:lang w:val="en-US"/>
              </w:rPr>
            </w:pPr>
            <w:r w:rsidRPr="008259E0">
              <w:rPr>
                <w:rFonts w:ascii="Arial" w:hAnsi="Arial" w:cs="Arial"/>
                <w:bCs/>
                <w:color w:val="auto"/>
                <w:sz w:val="20"/>
                <w:szCs w:val="20"/>
                <w:vertAlign w:val="superscript"/>
              </w:rPr>
              <w:t>_________</w:t>
            </w:r>
          </w:p>
          <w:p w14:paraId="07F1456E" w14:textId="77777777" w:rsidR="008259E0" w:rsidRDefault="008259E0" w:rsidP="008259E0">
            <w:pPr>
              <w:jc w:val="center"/>
              <w:rPr>
                <w:rFonts w:ascii="Arial" w:hAnsi="Arial" w:cs="Arial"/>
                <w:bCs/>
                <w:color w:val="auto"/>
                <w:sz w:val="20"/>
                <w:szCs w:val="20"/>
                <w:lang w:val="en-US"/>
              </w:rPr>
            </w:pPr>
            <w:r w:rsidRPr="008259E0">
              <w:rPr>
                <w:rFonts w:ascii="Arial" w:hAnsi="Arial" w:cs="Arial"/>
                <w:bCs/>
                <w:color w:val="auto"/>
                <w:sz w:val="20"/>
                <w:szCs w:val="20"/>
              </w:rPr>
              <w:t xml:space="preserve">Số: </w:t>
            </w:r>
            <w:r w:rsidR="006362F5">
              <w:rPr>
                <w:rFonts w:ascii="Arial" w:hAnsi="Arial" w:cs="Arial"/>
                <w:bCs/>
                <w:color w:val="auto"/>
                <w:sz w:val="20"/>
                <w:szCs w:val="20"/>
                <w:lang w:val="en-US"/>
              </w:rPr>
              <w:t>157/CT-CS</w:t>
            </w:r>
          </w:p>
          <w:p w14:paraId="34577597" w14:textId="27612F94" w:rsidR="006362F5" w:rsidRPr="008259E0" w:rsidRDefault="006362F5" w:rsidP="008259E0">
            <w:pPr>
              <w:jc w:val="center"/>
              <w:rPr>
                <w:rFonts w:ascii="Arial" w:hAnsi="Arial" w:cs="Arial"/>
                <w:bCs/>
                <w:color w:val="auto"/>
                <w:sz w:val="20"/>
                <w:szCs w:val="20"/>
                <w:lang w:val="en-US"/>
              </w:rPr>
            </w:pPr>
            <w:r>
              <w:rPr>
                <w:rFonts w:ascii="Arial" w:hAnsi="Arial" w:cs="Arial"/>
                <w:bCs/>
                <w:color w:val="auto"/>
                <w:sz w:val="20"/>
                <w:szCs w:val="20"/>
                <w:lang w:val="en-US"/>
              </w:rPr>
              <w:t xml:space="preserve">V/v </w:t>
            </w:r>
            <w:proofErr w:type="spellStart"/>
            <w:r>
              <w:rPr>
                <w:rFonts w:ascii="Arial" w:hAnsi="Arial" w:cs="Arial"/>
                <w:bCs/>
                <w:color w:val="auto"/>
                <w:sz w:val="20"/>
                <w:szCs w:val="20"/>
                <w:lang w:val="en-US"/>
              </w:rPr>
              <w:t>thuế</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giá</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trị</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gia</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tăng</w:t>
            </w:r>
            <w:proofErr w:type="spellEnd"/>
          </w:p>
        </w:tc>
        <w:tc>
          <w:tcPr>
            <w:tcW w:w="2948" w:type="pct"/>
            <w:hideMark/>
          </w:tcPr>
          <w:p w14:paraId="1A46EE23" w14:textId="77777777" w:rsidR="008259E0" w:rsidRPr="008259E0" w:rsidRDefault="008259E0" w:rsidP="008259E0">
            <w:pPr>
              <w:jc w:val="center"/>
              <w:rPr>
                <w:rFonts w:ascii="Arial" w:hAnsi="Arial" w:cs="Arial"/>
                <w:color w:val="auto"/>
                <w:sz w:val="20"/>
                <w:szCs w:val="20"/>
              </w:rPr>
            </w:pPr>
            <w:r w:rsidRPr="008259E0">
              <w:rPr>
                <w:rFonts w:ascii="Arial" w:hAnsi="Arial" w:cs="Arial"/>
                <w:b/>
                <w:bCs/>
                <w:color w:val="auto"/>
                <w:sz w:val="20"/>
                <w:szCs w:val="20"/>
              </w:rPr>
              <w:t>CỘNG HÒA XÃ HỘI CHỦ NGHĨA VIỆT NAM</w:t>
            </w:r>
          </w:p>
          <w:p w14:paraId="2E2A64BF" w14:textId="77777777" w:rsidR="008259E0" w:rsidRPr="008259E0" w:rsidRDefault="008259E0" w:rsidP="008259E0">
            <w:pPr>
              <w:jc w:val="center"/>
              <w:rPr>
                <w:rFonts w:ascii="Arial" w:hAnsi="Arial" w:cs="Arial"/>
                <w:b/>
                <w:bCs/>
                <w:color w:val="auto"/>
                <w:sz w:val="20"/>
                <w:szCs w:val="20"/>
              </w:rPr>
            </w:pPr>
            <w:r w:rsidRPr="008259E0">
              <w:rPr>
                <w:rFonts w:ascii="Arial" w:hAnsi="Arial" w:cs="Arial"/>
                <w:b/>
                <w:bCs/>
                <w:color w:val="auto"/>
                <w:sz w:val="20"/>
                <w:szCs w:val="20"/>
              </w:rPr>
              <w:t>Độc lập - Tự do - Hạnh phúc</w:t>
            </w:r>
          </w:p>
          <w:p w14:paraId="2B67B76C" w14:textId="77777777" w:rsidR="008259E0" w:rsidRPr="008259E0" w:rsidRDefault="008259E0" w:rsidP="008259E0">
            <w:pPr>
              <w:jc w:val="center"/>
              <w:rPr>
                <w:rFonts w:ascii="Arial" w:hAnsi="Arial" w:cs="Arial"/>
                <w:color w:val="auto"/>
                <w:sz w:val="20"/>
                <w:szCs w:val="20"/>
                <w:vertAlign w:val="superscript"/>
              </w:rPr>
            </w:pPr>
            <w:r w:rsidRPr="008259E0">
              <w:rPr>
                <w:rFonts w:ascii="Arial" w:hAnsi="Arial" w:cs="Arial"/>
                <w:color w:val="auto"/>
                <w:sz w:val="20"/>
                <w:szCs w:val="20"/>
                <w:vertAlign w:val="superscript"/>
              </w:rPr>
              <w:t>________________________</w:t>
            </w:r>
          </w:p>
          <w:p w14:paraId="44F48160" w14:textId="73622820" w:rsidR="008259E0" w:rsidRPr="008259E0" w:rsidRDefault="006362F5" w:rsidP="008259E0">
            <w:pPr>
              <w:jc w:val="center"/>
              <w:rPr>
                <w:rFonts w:ascii="Arial" w:hAnsi="Arial" w:cs="Arial"/>
                <w:color w:val="auto"/>
                <w:sz w:val="20"/>
                <w:szCs w:val="20"/>
                <w:lang w:val="en-US"/>
              </w:rPr>
            </w:pPr>
            <w:r>
              <w:rPr>
                <w:rFonts w:ascii="Arial" w:hAnsi="Arial" w:cs="Arial"/>
                <w:i/>
                <w:iCs/>
                <w:color w:val="auto"/>
                <w:sz w:val="20"/>
                <w:szCs w:val="20"/>
              </w:rPr>
              <w:t>H</w:t>
            </w:r>
            <w:r>
              <w:rPr>
                <w:rFonts w:ascii="Arial" w:hAnsi="Arial" w:cs="Arial"/>
                <w:i/>
                <w:iCs/>
                <w:color w:val="auto"/>
                <w:sz w:val="20"/>
                <w:szCs w:val="20"/>
                <w:lang w:val="en-US"/>
              </w:rPr>
              <w:t xml:space="preserve">à </w:t>
            </w:r>
            <w:proofErr w:type="spellStart"/>
            <w:r>
              <w:rPr>
                <w:rFonts w:ascii="Arial" w:hAnsi="Arial" w:cs="Arial"/>
                <w:i/>
                <w:iCs/>
                <w:color w:val="auto"/>
                <w:sz w:val="20"/>
                <w:szCs w:val="20"/>
                <w:lang w:val="en-US"/>
              </w:rPr>
              <w:t>Nội</w:t>
            </w:r>
            <w:proofErr w:type="spellEnd"/>
            <w:r w:rsidR="008259E0" w:rsidRPr="008259E0">
              <w:rPr>
                <w:rFonts w:ascii="Arial" w:hAnsi="Arial" w:cs="Arial"/>
                <w:i/>
                <w:iCs/>
                <w:color w:val="auto"/>
                <w:sz w:val="20"/>
                <w:szCs w:val="20"/>
              </w:rPr>
              <w:t xml:space="preserve">, ngày </w:t>
            </w:r>
            <w:r>
              <w:rPr>
                <w:rFonts w:ascii="Arial" w:hAnsi="Arial" w:cs="Arial"/>
                <w:i/>
                <w:iCs/>
                <w:color w:val="auto"/>
                <w:sz w:val="20"/>
                <w:szCs w:val="20"/>
                <w:lang w:val="en-US"/>
              </w:rPr>
              <w:t>14</w:t>
            </w:r>
            <w:r w:rsidR="008259E0" w:rsidRPr="008259E0">
              <w:rPr>
                <w:rFonts w:ascii="Arial" w:hAnsi="Arial" w:cs="Arial"/>
                <w:i/>
                <w:iCs/>
                <w:color w:val="auto"/>
                <w:sz w:val="20"/>
                <w:szCs w:val="20"/>
              </w:rPr>
              <w:t xml:space="preserve"> tháng </w:t>
            </w:r>
            <w:r>
              <w:rPr>
                <w:rFonts w:ascii="Arial" w:hAnsi="Arial" w:cs="Arial"/>
                <w:i/>
                <w:iCs/>
                <w:color w:val="auto"/>
                <w:sz w:val="20"/>
                <w:szCs w:val="20"/>
                <w:lang w:val="en-US"/>
              </w:rPr>
              <w:t>3</w:t>
            </w:r>
            <w:r w:rsidR="008259E0" w:rsidRPr="008259E0">
              <w:rPr>
                <w:rFonts w:ascii="Arial" w:hAnsi="Arial" w:cs="Arial"/>
                <w:i/>
                <w:iCs/>
                <w:color w:val="auto"/>
                <w:sz w:val="20"/>
                <w:szCs w:val="20"/>
              </w:rPr>
              <w:t xml:space="preserve"> năm 20</w:t>
            </w:r>
            <w:r>
              <w:rPr>
                <w:rFonts w:ascii="Arial" w:hAnsi="Arial" w:cs="Arial"/>
                <w:i/>
                <w:iCs/>
                <w:color w:val="auto"/>
                <w:sz w:val="20"/>
                <w:szCs w:val="20"/>
                <w:lang w:val="en-US"/>
              </w:rPr>
              <w:t>25</w:t>
            </w:r>
          </w:p>
        </w:tc>
      </w:tr>
    </w:tbl>
    <w:p w14:paraId="2548E897" w14:textId="77777777" w:rsidR="003F6046" w:rsidRPr="003F6046" w:rsidRDefault="003F6046" w:rsidP="006362F5">
      <w:pPr>
        <w:ind w:firstLine="720"/>
        <w:jc w:val="both"/>
        <w:rPr>
          <w:rFonts w:ascii="Arial" w:hAnsi="Arial" w:cs="Arial"/>
          <w:sz w:val="20"/>
          <w:szCs w:val="20"/>
        </w:rPr>
      </w:pPr>
    </w:p>
    <w:p w14:paraId="4DB4DF60" w14:textId="77777777" w:rsidR="003F6046" w:rsidRDefault="003F6046" w:rsidP="006362F5">
      <w:pPr>
        <w:ind w:firstLine="720"/>
        <w:jc w:val="both"/>
        <w:rPr>
          <w:rFonts w:ascii="Arial" w:hAnsi="Arial" w:cs="Arial"/>
          <w:sz w:val="20"/>
          <w:szCs w:val="20"/>
          <w:lang w:val="en-US"/>
        </w:rPr>
      </w:pPr>
    </w:p>
    <w:p w14:paraId="6CDFF289" w14:textId="77777777" w:rsidR="003F6046" w:rsidRDefault="003F6046" w:rsidP="006362F5">
      <w:pPr>
        <w:ind w:firstLine="720"/>
        <w:jc w:val="both"/>
        <w:rPr>
          <w:rFonts w:ascii="Arial" w:hAnsi="Arial" w:cs="Arial"/>
          <w:sz w:val="20"/>
          <w:szCs w:val="20"/>
          <w:lang w:val="en-US"/>
        </w:rPr>
      </w:pPr>
    </w:p>
    <w:tbl>
      <w:tblPr>
        <w:tblW w:w="5000" w:type="pct"/>
        <w:tblLook w:val="04A0" w:firstRow="1" w:lastRow="0" w:firstColumn="1" w:lastColumn="0" w:noHBand="0" w:noVBand="1"/>
      </w:tblPr>
      <w:tblGrid>
        <w:gridCol w:w="3431"/>
        <w:gridCol w:w="5598"/>
      </w:tblGrid>
      <w:tr w:rsidR="006362F5" w:rsidRPr="006362F5" w14:paraId="569F33EA" w14:textId="77777777" w:rsidTr="006362F5">
        <w:tc>
          <w:tcPr>
            <w:tcW w:w="1900" w:type="pct"/>
            <w:hideMark/>
          </w:tcPr>
          <w:p w14:paraId="01CBD5B9" w14:textId="77777777" w:rsidR="006362F5" w:rsidRPr="006362F5" w:rsidRDefault="006362F5" w:rsidP="006362F5">
            <w:pPr>
              <w:jc w:val="right"/>
              <w:rPr>
                <w:rFonts w:ascii="Arial" w:hAnsi="Arial" w:cs="Arial"/>
                <w:bCs/>
                <w:color w:val="auto"/>
                <w:sz w:val="20"/>
                <w:szCs w:val="20"/>
              </w:rPr>
            </w:pPr>
            <w:r w:rsidRPr="006362F5">
              <w:rPr>
                <w:rFonts w:ascii="Arial" w:hAnsi="Arial" w:cs="Arial"/>
                <w:bCs/>
                <w:color w:val="auto"/>
                <w:sz w:val="20"/>
                <w:szCs w:val="20"/>
              </w:rPr>
              <w:t>Kính gửi:</w:t>
            </w:r>
          </w:p>
        </w:tc>
        <w:tc>
          <w:tcPr>
            <w:tcW w:w="3100" w:type="pct"/>
          </w:tcPr>
          <w:p w14:paraId="03D2D375" w14:textId="77777777" w:rsidR="006362F5" w:rsidRPr="006362F5" w:rsidRDefault="006362F5" w:rsidP="006362F5">
            <w:pPr>
              <w:tabs>
                <w:tab w:val="left" w:pos="272"/>
              </w:tabs>
              <w:rPr>
                <w:sz w:val="20"/>
                <w:szCs w:val="20"/>
              </w:rPr>
            </w:pPr>
          </w:p>
          <w:p w14:paraId="14B866FC" w14:textId="27A50B33" w:rsidR="006362F5" w:rsidRPr="006362F5" w:rsidRDefault="006362F5" w:rsidP="006362F5">
            <w:pPr>
              <w:tabs>
                <w:tab w:val="left" w:pos="272"/>
              </w:tabs>
              <w:rPr>
                <w:rFonts w:ascii="Arial" w:hAnsi="Arial" w:cs="Arial"/>
                <w:sz w:val="20"/>
                <w:szCs w:val="20"/>
                <w:lang w:val="en-US"/>
              </w:rPr>
            </w:pPr>
            <w:r w:rsidRPr="006362F5">
              <w:rPr>
                <w:rFonts w:ascii="Arial" w:hAnsi="Arial" w:cs="Arial"/>
                <w:sz w:val="20"/>
                <w:szCs w:val="20"/>
                <w:lang w:val="en-US"/>
              </w:rPr>
              <w:t xml:space="preserve">- </w:t>
            </w:r>
            <w:r w:rsidRPr="006362F5">
              <w:rPr>
                <w:rFonts w:ascii="Arial" w:hAnsi="Arial" w:cs="Arial"/>
                <w:sz w:val="20"/>
                <w:szCs w:val="20"/>
              </w:rPr>
              <w:t>Chi cục Thuế khu vực XVIII</w:t>
            </w:r>
            <w:r>
              <w:rPr>
                <w:rFonts w:ascii="Arial" w:hAnsi="Arial" w:cs="Arial"/>
                <w:sz w:val="20"/>
                <w:szCs w:val="20"/>
                <w:lang w:val="en-US"/>
              </w:rPr>
              <w:t>;</w:t>
            </w:r>
          </w:p>
          <w:p w14:paraId="68F58AF9" w14:textId="77777777" w:rsidR="006362F5" w:rsidRDefault="006362F5" w:rsidP="006362F5">
            <w:pPr>
              <w:tabs>
                <w:tab w:val="left" w:pos="272"/>
              </w:tabs>
              <w:rPr>
                <w:rFonts w:ascii="Arial" w:hAnsi="Arial" w:cs="Arial"/>
                <w:sz w:val="20"/>
                <w:szCs w:val="20"/>
                <w:lang w:val="en-US"/>
              </w:rPr>
            </w:pPr>
            <w:bookmarkStart w:id="0" w:name="bookmark1"/>
            <w:bookmarkEnd w:id="0"/>
            <w:r w:rsidRPr="006362F5">
              <w:rPr>
                <w:rFonts w:ascii="Arial" w:hAnsi="Arial" w:cs="Arial"/>
                <w:sz w:val="20"/>
                <w:szCs w:val="20"/>
                <w:lang w:val="en-US"/>
              </w:rPr>
              <w:t xml:space="preserve">- </w:t>
            </w:r>
            <w:r w:rsidRPr="003F6046">
              <w:rPr>
                <w:rFonts w:ascii="Arial" w:hAnsi="Arial" w:cs="Arial"/>
                <w:sz w:val="20"/>
                <w:szCs w:val="20"/>
              </w:rPr>
              <w:t xml:space="preserve">Công ty TNHH </w:t>
            </w:r>
            <w:r w:rsidRPr="003F6046">
              <w:rPr>
                <w:rFonts w:ascii="Arial" w:hAnsi="Arial" w:cs="Arial"/>
                <w:sz w:val="20"/>
                <w:szCs w:val="20"/>
              </w:rPr>
              <w:t xml:space="preserve">SX </w:t>
            </w:r>
            <w:r w:rsidRPr="003F6046">
              <w:rPr>
                <w:rFonts w:ascii="Arial" w:hAnsi="Arial" w:cs="Arial"/>
                <w:sz w:val="20"/>
                <w:szCs w:val="20"/>
              </w:rPr>
              <w:t>XK TM Dừa Việt H B</w:t>
            </w:r>
            <w:r>
              <w:rPr>
                <w:rFonts w:ascii="Arial" w:hAnsi="Arial" w:cs="Arial"/>
                <w:sz w:val="20"/>
                <w:szCs w:val="20"/>
                <w:lang w:val="en-US"/>
              </w:rPr>
              <w:t>ế</w:t>
            </w:r>
            <w:r w:rsidRPr="003F6046">
              <w:rPr>
                <w:rFonts w:ascii="Arial" w:hAnsi="Arial" w:cs="Arial"/>
                <w:sz w:val="20"/>
                <w:szCs w:val="20"/>
              </w:rPr>
              <w:t>n Tre.</w:t>
            </w:r>
          </w:p>
          <w:p w14:paraId="03F12EDB" w14:textId="3B3515A7" w:rsidR="006362F5" w:rsidRPr="006362F5" w:rsidRDefault="006362F5" w:rsidP="006362F5">
            <w:pPr>
              <w:tabs>
                <w:tab w:val="left" w:pos="272"/>
              </w:tabs>
              <w:rPr>
                <w:rFonts w:ascii="Arial" w:hAnsi="Arial" w:cs="Arial"/>
                <w:color w:val="auto"/>
                <w:sz w:val="20"/>
                <w:szCs w:val="20"/>
              </w:rPr>
            </w:pPr>
            <w:r w:rsidRPr="003F6046">
              <w:rPr>
                <w:rFonts w:ascii="Arial" w:hAnsi="Arial" w:cs="Arial"/>
                <w:sz w:val="20"/>
                <w:szCs w:val="20"/>
              </w:rPr>
              <w:t>(Thửa đất số 44, 45, 65, 856, 857, 858, 859 tờ bản đồ số 12, ấp Phước Thành, Xã An Phước, Huyện Châu Thành, Tỉnh B</w:t>
            </w:r>
            <w:r>
              <w:rPr>
                <w:rFonts w:ascii="Arial" w:hAnsi="Arial" w:cs="Arial"/>
                <w:sz w:val="20"/>
                <w:szCs w:val="20"/>
                <w:lang w:val="en-US"/>
              </w:rPr>
              <w:t>ế</w:t>
            </w:r>
            <w:r w:rsidRPr="003F6046">
              <w:rPr>
                <w:rFonts w:ascii="Arial" w:hAnsi="Arial" w:cs="Arial"/>
                <w:sz w:val="20"/>
                <w:szCs w:val="20"/>
              </w:rPr>
              <w:t>n Tre, Việt Nam)</w:t>
            </w:r>
          </w:p>
        </w:tc>
      </w:tr>
    </w:tbl>
    <w:p w14:paraId="0DD14C99" w14:textId="60EC7F3C" w:rsidR="003F6046" w:rsidRPr="003F6046" w:rsidRDefault="003F6046" w:rsidP="006362F5">
      <w:pPr>
        <w:ind w:left="720"/>
        <w:jc w:val="both"/>
        <w:rPr>
          <w:rFonts w:ascii="Arial" w:hAnsi="Arial" w:cs="Arial"/>
          <w:sz w:val="20"/>
          <w:szCs w:val="20"/>
        </w:rPr>
      </w:pPr>
      <w:bookmarkStart w:id="1" w:name="bookmark0"/>
      <w:bookmarkEnd w:id="1"/>
    </w:p>
    <w:p w14:paraId="514651EB" w14:textId="67E7B549" w:rsidR="003F6046" w:rsidRPr="003F6046" w:rsidRDefault="003F6046" w:rsidP="003235FD">
      <w:pPr>
        <w:spacing w:after="120"/>
        <w:ind w:firstLine="720"/>
        <w:jc w:val="both"/>
        <w:rPr>
          <w:rFonts w:ascii="Arial" w:hAnsi="Arial" w:cs="Arial"/>
          <w:sz w:val="20"/>
          <w:szCs w:val="20"/>
        </w:rPr>
      </w:pPr>
      <w:r w:rsidRPr="003F6046">
        <w:rPr>
          <w:rFonts w:ascii="Arial" w:hAnsi="Arial" w:cs="Arial"/>
          <w:sz w:val="20"/>
          <w:szCs w:val="20"/>
        </w:rPr>
        <w:t xml:space="preserve">Cục Thuế nhận được văn bản số 003/VH của Công ty TNHH </w:t>
      </w:r>
      <w:r w:rsidR="00016648" w:rsidRPr="003F6046">
        <w:rPr>
          <w:rFonts w:ascii="Arial" w:hAnsi="Arial" w:cs="Arial"/>
          <w:sz w:val="20"/>
          <w:szCs w:val="20"/>
        </w:rPr>
        <w:t xml:space="preserve">SX </w:t>
      </w:r>
      <w:r w:rsidRPr="003F6046">
        <w:rPr>
          <w:rFonts w:ascii="Arial" w:hAnsi="Arial" w:cs="Arial"/>
          <w:sz w:val="20"/>
          <w:szCs w:val="20"/>
        </w:rPr>
        <w:t xml:space="preserve">XK TM Dừa Việt H Bến Tre về thuế GTGT. </w:t>
      </w:r>
      <w:r w:rsidR="003235FD" w:rsidRPr="003F6046">
        <w:rPr>
          <w:rFonts w:ascii="Arial" w:hAnsi="Arial" w:cs="Arial"/>
          <w:sz w:val="20"/>
          <w:szCs w:val="20"/>
        </w:rPr>
        <w:t xml:space="preserve">Về </w:t>
      </w:r>
      <w:r w:rsidRPr="003F6046">
        <w:rPr>
          <w:rFonts w:ascii="Arial" w:hAnsi="Arial" w:cs="Arial"/>
          <w:sz w:val="20"/>
          <w:szCs w:val="20"/>
        </w:rPr>
        <w:t>vấn đề này, Cục Thuế có ý kiến như</w:t>
      </w:r>
      <w:r w:rsidR="003235FD">
        <w:rPr>
          <w:rFonts w:ascii="Arial" w:hAnsi="Arial" w:cs="Arial"/>
          <w:sz w:val="20"/>
          <w:szCs w:val="20"/>
          <w:lang w:val="en-US"/>
        </w:rPr>
        <w:t xml:space="preserve"> </w:t>
      </w:r>
      <w:r w:rsidRPr="003F6046">
        <w:rPr>
          <w:rFonts w:ascii="Arial" w:hAnsi="Arial" w:cs="Arial"/>
          <w:sz w:val="20"/>
          <w:szCs w:val="20"/>
        </w:rPr>
        <w:t>sau:</w:t>
      </w:r>
    </w:p>
    <w:p w14:paraId="11C174C6" w14:textId="09A81A3E"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Căn cứ khoản 1, khoản 3a Điều 5 Luật Thuế giá trị gia tăng số 13/2008/QH12 ngày 03/6/2008 (đã được sửa đổi, bổ sung tại khoản 1 Điều 3 của Luật số 71/2014/QH13 ngày 26/11/2014, khoản 1 Điều 1 của Luật số 106/2016/</w:t>
      </w:r>
      <w:r w:rsidR="0050584E">
        <w:rPr>
          <w:rFonts w:ascii="Arial" w:hAnsi="Arial" w:cs="Arial"/>
          <w:sz w:val="20"/>
          <w:szCs w:val="20"/>
          <w:lang w:val="en-US"/>
        </w:rPr>
        <w:t>Q</w:t>
      </w:r>
      <w:r w:rsidRPr="003F6046">
        <w:rPr>
          <w:rFonts w:ascii="Arial" w:hAnsi="Arial" w:cs="Arial"/>
          <w:sz w:val="20"/>
          <w:szCs w:val="20"/>
        </w:rPr>
        <w:t>H13 ngày 06/4/2016) quy định đối tượng không chịu thuế;</w:t>
      </w:r>
    </w:p>
    <w:p w14:paraId="45A97F96" w14:textId="77777777"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Căn cứ khoản 3 Điều 8 Luật giá trị gia tăng số 13/2008/QH12 ngày 03/6/2008 quy định thuế suất 10%;</w:t>
      </w:r>
    </w:p>
    <w:p w14:paraId="1290650D" w14:textId="05589926"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C</w:t>
      </w:r>
      <w:r w:rsidR="0050584E">
        <w:rPr>
          <w:rFonts w:ascii="Arial" w:hAnsi="Arial" w:cs="Arial"/>
          <w:sz w:val="20"/>
          <w:szCs w:val="20"/>
          <w:lang w:val="en-US"/>
        </w:rPr>
        <w:t>ă</w:t>
      </w:r>
      <w:r w:rsidRPr="003F6046">
        <w:rPr>
          <w:rFonts w:ascii="Arial" w:hAnsi="Arial" w:cs="Arial"/>
          <w:sz w:val="20"/>
          <w:szCs w:val="20"/>
        </w:rPr>
        <w:t>n cứ khoản 1, khoản 3a Điều 4 Thông tư số 219/2013/TT-BTC ngày 31/12/2013 của Bộ Tài chính</w:t>
      </w:r>
      <w:r w:rsidR="0050584E">
        <w:rPr>
          <w:rFonts w:ascii="Arial" w:hAnsi="Arial" w:cs="Arial"/>
          <w:sz w:val="20"/>
          <w:szCs w:val="20"/>
          <w:lang w:val="en-US"/>
        </w:rPr>
        <w:t xml:space="preserve"> </w:t>
      </w:r>
      <w:r w:rsidRPr="003F6046">
        <w:rPr>
          <w:rFonts w:ascii="Arial" w:hAnsi="Arial" w:cs="Arial"/>
          <w:sz w:val="20"/>
          <w:szCs w:val="20"/>
        </w:rPr>
        <w:t>(đã được sửa đổi bổ sung tại khoản 2 Điều 1 Thông tư số 26/2015/TT-BTC của Bộ Tài chính) quy định đối tượng không chịu thuế;</w:t>
      </w:r>
    </w:p>
    <w:p w14:paraId="4881691B" w14:textId="77777777"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Căn cứ Điều 11 Thông tư số 219/2013/TT-BTC ngày 31/12/2013 của Bộ Tài chính hướng dẫn thuế suất 10%;</w:t>
      </w:r>
    </w:p>
    <w:p w14:paraId="27AA124B" w14:textId="2C354A13"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 xml:space="preserve">Căn cứ khoản 25, khoản 26, khoản 27 Điều 2 Luật Chăn nuôi </w:t>
      </w:r>
      <w:proofErr w:type="spellStart"/>
      <w:r w:rsidR="0050584E">
        <w:rPr>
          <w:rFonts w:ascii="Arial" w:hAnsi="Arial" w:cs="Arial"/>
          <w:sz w:val="20"/>
          <w:szCs w:val="20"/>
          <w:lang w:val="en-US"/>
        </w:rPr>
        <w:t>số</w:t>
      </w:r>
      <w:proofErr w:type="spellEnd"/>
      <w:r w:rsidRPr="003F6046">
        <w:rPr>
          <w:rFonts w:ascii="Arial" w:hAnsi="Arial" w:cs="Arial"/>
          <w:sz w:val="20"/>
          <w:szCs w:val="20"/>
        </w:rPr>
        <w:t xml:space="preserve"> 32/2018/QH14 ngày 19/11/2018 quy định về giải thích từ ngữ;</w:t>
      </w:r>
    </w:p>
    <w:p w14:paraId="428C86C9" w14:textId="337E305B" w:rsidR="003F6046" w:rsidRPr="003F6046" w:rsidRDefault="003F6046" w:rsidP="003F6046">
      <w:pPr>
        <w:spacing w:after="120"/>
        <w:ind w:firstLine="720"/>
        <w:jc w:val="both"/>
        <w:rPr>
          <w:rFonts w:ascii="Arial" w:hAnsi="Arial" w:cs="Arial"/>
          <w:sz w:val="20"/>
          <w:szCs w:val="20"/>
        </w:rPr>
      </w:pPr>
      <w:r w:rsidRPr="003F6046">
        <w:rPr>
          <w:rFonts w:ascii="Arial" w:hAnsi="Arial" w:cs="Arial"/>
          <w:sz w:val="20"/>
          <w:szCs w:val="20"/>
        </w:rPr>
        <w:t>Căn cứ khoản 2 Điều 6 Thông tư số 21/2019/TT-BNNPTNT của Bộ Nông nghiệp và Phát tri</w:t>
      </w:r>
      <w:r w:rsidR="0050584E">
        <w:rPr>
          <w:rFonts w:ascii="Arial" w:hAnsi="Arial" w:cs="Arial"/>
          <w:sz w:val="20"/>
          <w:szCs w:val="20"/>
          <w:lang w:val="en-US"/>
        </w:rPr>
        <w:t>ể</w:t>
      </w:r>
      <w:r w:rsidRPr="003F6046">
        <w:rPr>
          <w:rFonts w:ascii="Arial" w:hAnsi="Arial" w:cs="Arial"/>
          <w:sz w:val="20"/>
          <w:szCs w:val="20"/>
        </w:rPr>
        <w:t>n nông thôn hướng dẫn danh mục hóa ch</w:t>
      </w:r>
      <w:r w:rsidR="0050584E">
        <w:rPr>
          <w:rFonts w:ascii="Arial" w:hAnsi="Arial" w:cs="Arial"/>
          <w:sz w:val="20"/>
          <w:szCs w:val="20"/>
          <w:lang w:val="en-US"/>
        </w:rPr>
        <w:t>ấ</w:t>
      </w:r>
      <w:r w:rsidRPr="003F6046">
        <w:rPr>
          <w:rFonts w:ascii="Arial" w:hAnsi="Arial" w:cs="Arial"/>
          <w:sz w:val="20"/>
          <w:szCs w:val="20"/>
        </w:rPr>
        <w:t>t, sản ph</w:t>
      </w:r>
      <w:r w:rsidR="0050584E">
        <w:rPr>
          <w:rFonts w:ascii="Arial" w:hAnsi="Arial" w:cs="Arial"/>
          <w:sz w:val="20"/>
          <w:szCs w:val="20"/>
          <w:lang w:val="en-US"/>
        </w:rPr>
        <w:t>ẩ</w:t>
      </w:r>
      <w:r w:rsidRPr="003F6046">
        <w:rPr>
          <w:rFonts w:ascii="Arial" w:hAnsi="Arial" w:cs="Arial"/>
          <w:sz w:val="20"/>
          <w:szCs w:val="20"/>
        </w:rPr>
        <w:t>m sinh học, vi sinh vật cấm sử dụng trong thức ăn chăn nuôi; danh mục nguyên liệu được phép sử dụng làm thức ăn chăn nuôi.</w:t>
      </w:r>
    </w:p>
    <w:p w14:paraId="540B1586" w14:textId="778849F5" w:rsidR="003F6046" w:rsidRPr="003F6046" w:rsidRDefault="003F6046" w:rsidP="00167D9B">
      <w:pPr>
        <w:spacing w:after="120"/>
        <w:ind w:firstLine="720"/>
        <w:jc w:val="both"/>
        <w:rPr>
          <w:rFonts w:ascii="Arial" w:hAnsi="Arial" w:cs="Arial"/>
          <w:sz w:val="20"/>
          <w:szCs w:val="20"/>
          <w:lang w:val="en-US"/>
        </w:rPr>
      </w:pPr>
      <w:r w:rsidRPr="003F6046">
        <w:rPr>
          <w:rFonts w:ascii="Arial" w:hAnsi="Arial" w:cs="Arial"/>
          <w:sz w:val="20"/>
          <w:szCs w:val="20"/>
        </w:rPr>
        <w:t xml:space="preserve">Căn cứ các quy định trên, trường hợp Công ty TNHH </w:t>
      </w:r>
      <w:r w:rsidR="00167D9B" w:rsidRPr="003F6046">
        <w:rPr>
          <w:rFonts w:ascii="Arial" w:hAnsi="Arial" w:cs="Arial"/>
          <w:sz w:val="20"/>
          <w:szCs w:val="20"/>
        </w:rPr>
        <w:t xml:space="preserve">SX </w:t>
      </w:r>
      <w:r w:rsidRPr="003F6046">
        <w:rPr>
          <w:rFonts w:ascii="Arial" w:hAnsi="Arial" w:cs="Arial"/>
          <w:sz w:val="20"/>
          <w:szCs w:val="20"/>
        </w:rPr>
        <w:t>XK TM Dừa Việt H B</w:t>
      </w:r>
      <w:r w:rsidR="00167D9B">
        <w:rPr>
          <w:rFonts w:ascii="Arial" w:hAnsi="Arial" w:cs="Arial"/>
          <w:sz w:val="20"/>
          <w:szCs w:val="20"/>
          <w:lang w:val="en-US"/>
        </w:rPr>
        <w:t>ế</w:t>
      </w:r>
      <w:r w:rsidRPr="003F6046">
        <w:rPr>
          <w:rFonts w:ascii="Arial" w:hAnsi="Arial" w:cs="Arial"/>
          <w:sz w:val="20"/>
          <w:szCs w:val="20"/>
        </w:rPr>
        <w:t>n Tre bán mặt hàng dầu dừa thô và dầu dừa tinh luyện là sản ph</w:t>
      </w:r>
      <w:r w:rsidR="00167D9B">
        <w:rPr>
          <w:rFonts w:ascii="Arial" w:hAnsi="Arial" w:cs="Arial"/>
          <w:sz w:val="20"/>
          <w:szCs w:val="20"/>
          <w:lang w:val="en-US"/>
        </w:rPr>
        <w:t>ẩ</w:t>
      </w:r>
      <w:r w:rsidRPr="003F6046">
        <w:rPr>
          <w:rFonts w:ascii="Arial" w:hAnsi="Arial" w:cs="Arial"/>
          <w:sz w:val="20"/>
          <w:szCs w:val="20"/>
        </w:rPr>
        <w:t xml:space="preserve">m trồng trọt </w:t>
      </w:r>
      <w:proofErr w:type="spellStart"/>
      <w:r w:rsidR="00167D9B">
        <w:rPr>
          <w:rFonts w:ascii="Arial" w:hAnsi="Arial" w:cs="Arial"/>
          <w:sz w:val="20"/>
          <w:szCs w:val="20"/>
          <w:lang w:val="en-US"/>
        </w:rPr>
        <w:t>đã</w:t>
      </w:r>
      <w:proofErr w:type="spellEnd"/>
      <w:r w:rsidRPr="003F6046">
        <w:rPr>
          <w:rFonts w:ascii="Arial" w:hAnsi="Arial" w:cs="Arial"/>
          <w:sz w:val="20"/>
          <w:szCs w:val="20"/>
        </w:rPr>
        <w:t xml:space="preserve"> qua chế biến thì thuộc đối tượng áp dụng thuế su</w:t>
      </w:r>
      <w:r w:rsidR="00167D9B">
        <w:rPr>
          <w:rFonts w:ascii="Arial" w:hAnsi="Arial" w:cs="Arial"/>
          <w:sz w:val="20"/>
          <w:szCs w:val="20"/>
          <w:lang w:val="en-US"/>
        </w:rPr>
        <w:t>ấ</w:t>
      </w:r>
      <w:r w:rsidRPr="003F6046">
        <w:rPr>
          <w:rFonts w:ascii="Arial" w:hAnsi="Arial" w:cs="Arial"/>
          <w:sz w:val="20"/>
          <w:szCs w:val="20"/>
        </w:rPr>
        <w:t>t thuế GTGT 10%. Trường hợp Công ty bán mặt hàng d</w:t>
      </w:r>
      <w:r w:rsidR="00167D9B">
        <w:rPr>
          <w:rFonts w:ascii="Arial" w:hAnsi="Arial" w:cs="Arial"/>
          <w:sz w:val="20"/>
          <w:szCs w:val="20"/>
          <w:lang w:val="en-US"/>
        </w:rPr>
        <w:t>ầ</w:t>
      </w:r>
      <w:r w:rsidRPr="003F6046">
        <w:rPr>
          <w:rFonts w:ascii="Arial" w:hAnsi="Arial" w:cs="Arial"/>
          <w:sz w:val="20"/>
          <w:szCs w:val="20"/>
        </w:rPr>
        <w:t>u dừa thô và d</w:t>
      </w:r>
      <w:r w:rsidR="00167D9B">
        <w:rPr>
          <w:rFonts w:ascii="Arial" w:hAnsi="Arial" w:cs="Arial"/>
          <w:sz w:val="20"/>
          <w:szCs w:val="20"/>
          <w:lang w:val="en-US"/>
        </w:rPr>
        <w:t>ầ</w:t>
      </w:r>
      <w:r w:rsidRPr="003F6046">
        <w:rPr>
          <w:rFonts w:ascii="Arial" w:hAnsi="Arial" w:cs="Arial"/>
          <w:sz w:val="20"/>
          <w:szCs w:val="20"/>
        </w:rPr>
        <w:t xml:space="preserve">u dừa tinh luyện </w:t>
      </w:r>
      <w:proofErr w:type="spellStart"/>
      <w:r w:rsidR="00167D9B">
        <w:rPr>
          <w:rFonts w:ascii="Arial" w:hAnsi="Arial" w:cs="Arial"/>
          <w:sz w:val="20"/>
          <w:szCs w:val="20"/>
          <w:lang w:val="en-US"/>
        </w:rPr>
        <w:t>để</w:t>
      </w:r>
      <w:proofErr w:type="spellEnd"/>
      <w:r w:rsidRPr="003F6046">
        <w:rPr>
          <w:rFonts w:ascii="Arial" w:hAnsi="Arial" w:cs="Arial"/>
          <w:sz w:val="20"/>
          <w:szCs w:val="20"/>
        </w:rPr>
        <w:t xml:space="preserve"> làm nguyên liệu sản xuất thức ăn chăn nuôi thì chịu thuế giá trị gia tăng, trường hợp mặt hàng dầu dừa thô và dầu dừa tinh luyện được phép sử dụng làm thức ăn</w:t>
      </w:r>
      <w:r w:rsidR="00167D9B">
        <w:rPr>
          <w:rFonts w:ascii="Arial" w:hAnsi="Arial" w:cs="Arial"/>
          <w:sz w:val="20"/>
          <w:szCs w:val="20"/>
          <w:lang w:val="en-US"/>
        </w:rPr>
        <w:t xml:space="preserve"> </w:t>
      </w:r>
      <w:r w:rsidRPr="003F6046">
        <w:rPr>
          <w:rFonts w:ascii="Arial" w:hAnsi="Arial" w:cs="Arial"/>
          <w:sz w:val="20"/>
          <w:szCs w:val="20"/>
        </w:rPr>
        <w:t>chăn nuôi theo quy định pháp luật về chăn nuôi thì thuộc đối tượng không chịu thuế GTGT.</w:t>
      </w:r>
    </w:p>
    <w:p w14:paraId="484599DC" w14:textId="47AED427" w:rsidR="003F6046" w:rsidRPr="003F6046" w:rsidRDefault="003F6046" w:rsidP="003F6046">
      <w:pPr>
        <w:spacing w:after="120"/>
        <w:ind w:firstLine="720"/>
        <w:jc w:val="both"/>
        <w:rPr>
          <w:rFonts w:ascii="Arial" w:hAnsi="Arial" w:cs="Arial"/>
          <w:sz w:val="20"/>
          <w:szCs w:val="20"/>
          <w:lang w:val="en-US"/>
        </w:rPr>
      </w:pPr>
      <w:r w:rsidRPr="003F6046">
        <w:rPr>
          <w:rFonts w:ascii="Arial" w:hAnsi="Arial" w:cs="Arial"/>
          <w:sz w:val="20"/>
          <w:szCs w:val="20"/>
        </w:rPr>
        <w:t xml:space="preserve">Đề nghị Chi cục Thuế khu vực </w:t>
      </w:r>
      <w:r w:rsidR="007A16B2" w:rsidRPr="003F6046">
        <w:rPr>
          <w:rFonts w:ascii="Arial" w:hAnsi="Arial" w:cs="Arial"/>
          <w:sz w:val="20"/>
          <w:szCs w:val="20"/>
        </w:rPr>
        <w:t>XV</w:t>
      </w:r>
      <w:r w:rsidR="007A16B2">
        <w:rPr>
          <w:rFonts w:ascii="Arial" w:hAnsi="Arial" w:cs="Arial"/>
          <w:sz w:val="20"/>
          <w:szCs w:val="20"/>
          <w:lang w:val="en-US"/>
        </w:rPr>
        <w:t>III</w:t>
      </w:r>
      <w:r w:rsidR="007A16B2" w:rsidRPr="003F6046">
        <w:rPr>
          <w:rFonts w:ascii="Arial" w:hAnsi="Arial" w:cs="Arial"/>
          <w:sz w:val="20"/>
          <w:szCs w:val="20"/>
        </w:rPr>
        <w:t xml:space="preserve"> </w:t>
      </w:r>
      <w:r w:rsidRPr="003F6046">
        <w:rPr>
          <w:rFonts w:ascii="Arial" w:hAnsi="Arial" w:cs="Arial"/>
          <w:sz w:val="20"/>
          <w:szCs w:val="20"/>
        </w:rPr>
        <w:t xml:space="preserve">phối hợp với cơ quan quản lý nhà nước chuyên ngành tại địa phương để xác định mặt hàng dầu dừa thô và dầu dừa tinh luyện của Công ty TNHH </w:t>
      </w:r>
      <w:r w:rsidR="00AD10AC" w:rsidRPr="003F6046">
        <w:rPr>
          <w:rFonts w:ascii="Arial" w:hAnsi="Arial" w:cs="Arial"/>
          <w:sz w:val="20"/>
          <w:szCs w:val="20"/>
        </w:rPr>
        <w:t xml:space="preserve">SX </w:t>
      </w:r>
      <w:r w:rsidRPr="003F6046">
        <w:rPr>
          <w:rFonts w:ascii="Arial" w:hAnsi="Arial" w:cs="Arial"/>
          <w:sz w:val="20"/>
          <w:szCs w:val="20"/>
        </w:rPr>
        <w:t>XK TM</w:t>
      </w:r>
      <w:r w:rsidR="00AD10AC">
        <w:rPr>
          <w:rFonts w:ascii="Arial" w:hAnsi="Arial" w:cs="Arial"/>
          <w:sz w:val="20"/>
          <w:szCs w:val="20"/>
          <w:lang w:val="en-US"/>
        </w:rPr>
        <w:t xml:space="preserve"> </w:t>
      </w:r>
      <w:r w:rsidRPr="003F6046">
        <w:rPr>
          <w:rFonts w:ascii="Arial" w:hAnsi="Arial" w:cs="Arial"/>
          <w:sz w:val="20"/>
          <w:szCs w:val="20"/>
        </w:rPr>
        <w:t>Dừa Việt H Bến Tre được phép sử dụng làm thức ăn chăn nuôi theo quy định pháp luật về chăn nuôi hay không để hướng dẫn thực hiện theo quy định.</w:t>
      </w:r>
    </w:p>
    <w:p w14:paraId="312C6124" w14:textId="58600292" w:rsidR="003F6046" w:rsidRDefault="003F6046" w:rsidP="00AD10AC">
      <w:pPr>
        <w:ind w:firstLine="720"/>
        <w:jc w:val="both"/>
        <w:rPr>
          <w:rFonts w:ascii="Arial" w:hAnsi="Arial" w:cs="Arial"/>
          <w:sz w:val="20"/>
          <w:szCs w:val="20"/>
          <w:lang w:val="en-US"/>
        </w:rPr>
      </w:pPr>
      <w:r w:rsidRPr="003F6046">
        <w:rPr>
          <w:rFonts w:ascii="Arial" w:hAnsi="Arial" w:cs="Arial"/>
          <w:sz w:val="20"/>
          <w:szCs w:val="20"/>
        </w:rPr>
        <w:t xml:space="preserve">Cục Thuế có ý kiến để Chi cục Thuế khu vực XVIII và Công ty TNHH </w:t>
      </w:r>
      <w:r w:rsidR="00AD10AC" w:rsidRPr="003F6046">
        <w:rPr>
          <w:rFonts w:ascii="Arial" w:hAnsi="Arial" w:cs="Arial"/>
          <w:sz w:val="20"/>
          <w:szCs w:val="20"/>
        </w:rPr>
        <w:t xml:space="preserve">SX </w:t>
      </w:r>
      <w:r w:rsidRPr="003F6046">
        <w:rPr>
          <w:rFonts w:ascii="Arial" w:hAnsi="Arial" w:cs="Arial"/>
          <w:sz w:val="20"/>
          <w:szCs w:val="20"/>
        </w:rPr>
        <w:t>XK TM Dừa Việt H. B</w:t>
      </w:r>
      <w:r w:rsidR="00AD10AC">
        <w:rPr>
          <w:rFonts w:ascii="Arial" w:hAnsi="Arial" w:cs="Arial"/>
          <w:sz w:val="20"/>
          <w:szCs w:val="20"/>
          <w:lang w:val="en-US"/>
        </w:rPr>
        <w:t>ế</w:t>
      </w:r>
      <w:r w:rsidRPr="003F6046">
        <w:rPr>
          <w:rFonts w:ascii="Arial" w:hAnsi="Arial" w:cs="Arial"/>
          <w:sz w:val="20"/>
          <w:szCs w:val="20"/>
        </w:rPr>
        <w:t>n Tre được biết./</w:t>
      </w:r>
      <w:r w:rsidR="00AD10AC">
        <w:rPr>
          <w:rFonts w:ascii="Arial" w:hAnsi="Arial" w:cs="Arial"/>
          <w:sz w:val="20"/>
          <w:szCs w:val="20"/>
          <w:lang w:val="en-US"/>
        </w:rPr>
        <w:t>.</w:t>
      </w:r>
    </w:p>
    <w:p w14:paraId="6156EF46" w14:textId="77777777" w:rsidR="00AD10AC" w:rsidRDefault="00AD10AC" w:rsidP="00AD10AC">
      <w:pPr>
        <w:ind w:firstLine="720"/>
        <w:jc w:val="both"/>
        <w:rPr>
          <w:rFonts w:ascii="Arial" w:hAnsi="Arial" w:cs="Arial"/>
          <w:sz w:val="20"/>
          <w:szCs w:val="20"/>
          <w:lang w:val="en-US"/>
        </w:rPr>
      </w:pPr>
    </w:p>
    <w:tbl>
      <w:tblPr>
        <w:tblW w:w="5000" w:type="pct"/>
        <w:tblLook w:val="04A0" w:firstRow="1" w:lastRow="0" w:firstColumn="1" w:lastColumn="0" w:noHBand="0" w:noVBand="1"/>
      </w:tblPr>
      <w:tblGrid>
        <w:gridCol w:w="3969"/>
        <w:gridCol w:w="5060"/>
      </w:tblGrid>
      <w:tr w:rsidR="0029062F" w:rsidRPr="0029062F" w14:paraId="369838E1" w14:textId="77777777" w:rsidTr="006759FA">
        <w:tc>
          <w:tcPr>
            <w:tcW w:w="2198" w:type="pct"/>
          </w:tcPr>
          <w:p w14:paraId="3FE4C029" w14:textId="77777777" w:rsidR="000244F7" w:rsidRPr="003F6046" w:rsidRDefault="000244F7" w:rsidP="006759FA">
            <w:pPr>
              <w:jc w:val="both"/>
              <w:rPr>
                <w:rFonts w:ascii="Arial" w:hAnsi="Arial" w:cs="Arial"/>
                <w:sz w:val="20"/>
                <w:szCs w:val="20"/>
              </w:rPr>
            </w:pPr>
            <w:r w:rsidRPr="003F6046">
              <w:rPr>
                <w:rFonts w:ascii="Arial" w:hAnsi="Arial" w:cs="Arial"/>
                <w:b/>
                <w:bCs/>
                <w:i/>
                <w:iCs/>
                <w:sz w:val="20"/>
                <w:szCs w:val="20"/>
              </w:rPr>
              <w:t>Nơi nhận:</w:t>
            </w:r>
          </w:p>
          <w:p w14:paraId="45ACCDB8" w14:textId="77777777" w:rsidR="000244F7" w:rsidRPr="003F6046" w:rsidRDefault="000244F7" w:rsidP="006759FA">
            <w:pPr>
              <w:jc w:val="both"/>
              <w:rPr>
                <w:rFonts w:ascii="Arial" w:hAnsi="Arial" w:cs="Arial"/>
                <w:sz w:val="20"/>
                <w:szCs w:val="20"/>
              </w:rPr>
            </w:pPr>
            <w:bookmarkStart w:id="2" w:name="bookmark2"/>
            <w:bookmarkEnd w:id="2"/>
            <w:r>
              <w:rPr>
                <w:rFonts w:ascii="Arial" w:hAnsi="Arial" w:cs="Arial"/>
                <w:sz w:val="20"/>
                <w:szCs w:val="20"/>
                <w:lang w:val="en-US"/>
              </w:rPr>
              <w:t xml:space="preserve">- </w:t>
            </w:r>
            <w:r w:rsidRPr="003F6046">
              <w:rPr>
                <w:rFonts w:ascii="Arial" w:hAnsi="Arial" w:cs="Arial"/>
                <w:sz w:val="20"/>
                <w:szCs w:val="20"/>
              </w:rPr>
              <w:t>Như trên;</w:t>
            </w:r>
          </w:p>
          <w:p w14:paraId="115CEA1B" w14:textId="77777777" w:rsidR="000244F7" w:rsidRPr="003F6046" w:rsidRDefault="000244F7" w:rsidP="006759FA">
            <w:pPr>
              <w:jc w:val="both"/>
              <w:rPr>
                <w:rFonts w:ascii="Arial" w:hAnsi="Arial" w:cs="Arial"/>
                <w:sz w:val="20"/>
                <w:szCs w:val="20"/>
              </w:rPr>
            </w:pPr>
            <w:bookmarkStart w:id="3" w:name="bookmark3"/>
            <w:bookmarkEnd w:id="3"/>
            <w:r>
              <w:rPr>
                <w:rFonts w:ascii="Arial" w:hAnsi="Arial" w:cs="Arial"/>
                <w:sz w:val="20"/>
                <w:szCs w:val="20"/>
                <w:lang w:val="en-US"/>
              </w:rPr>
              <w:t xml:space="preserve">- </w:t>
            </w:r>
            <w:r w:rsidRPr="003F6046">
              <w:rPr>
                <w:rFonts w:ascii="Arial" w:hAnsi="Arial" w:cs="Arial"/>
                <w:sz w:val="20"/>
                <w:szCs w:val="20"/>
              </w:rPr>
              <w:t>Phó CTr Đặng Ngọc Minh (để b/c)</w:t>
            </w:r>
          </w:p>
          <w:p w14:paraId="348DD49E" w14:textId="77777777" w:rsidR="000244F7" w:rsidRDefault="000244F7" w:rsidP="006759FA">
            <w:pPr>
              <w:jc w:val="both"/>
              <w:rPr>
                <w:rFonts w:ascii="Arial" w:hAnsi="Arial" w:cs="Arial"/>
                <w:sz w:val="20"/>
                <w:szCs w:val="20"/>
                <w:lang w:val="en-US"/>
              </w:rPr>
            </w:pPr>
            <w:bookmarkStart w:id="4" w:name="bookmark4"/>
            <w:bookmarkEnd w:id="4"/>
            <w:r>
              <w:rPr>
                <w:rFonts w:ascii="Arial" w:hAnsi="Arial" w:cs="Arial"/>
                <w:sz w:val="20"/>
                <w:szCs w:val="20"/>
                <w:lang w:val="en-US"/>
              </w:rPr>
              <w:t xml:space="preserve">- </w:t>
            </w:r>
            <w:r w:rsidRPr="003F6046">
              <w:rPr>
                <w:rFonts w:ascii="Arial" w:hAnsi="Arial" w:cs="Arial"/>
                <w:sz w:val="20"/>
                <w:szCs w:val="20"/>
              </w:rPr>
              <w:t>Ban PC - CT;</w:t>
            </w:r>
            <w:bookmarkStart w:id="5" w:name="bookmark5"/>
            <w:bookmarkEnd w:id="5"/>
          </w:p>
          <w:p w14:paraId="40227DD3" w14:textId="77777777" w:rsidR="000244F7" w:rsidRPr="003F6046" w:rsidRDefault="000244F7" w:rsidP="006759FA">
            <w:pPr>
              <w:jc w:val="both"/>
              <w:rPr>
                <w:rFonts w:ascii="Arial" w:hAnsi="Arial" w:cs="Arial"/>
                <w:sz w:val="20"/>
                <w:szCs w:val="20"/>
              </w:rPr>
            </w:pPr>
            <w:r>
              <w:rPr>
                <w:rFonts w:ascii="Arial" w:hAnsi="Arial" w:cs="Arial"/>
                <w:sz w:val="20"/>
                <w:szCs w:val="20"/>
                <w:lang w:val="en-US"/>
              </w:rPr>
              <w:t xml:space="preserve">- </w:t>
            </w:r>
            <w:r w:rsidRPr="003F6046">
              <w:rPr>
                <w:rFonts w:ascii="Arial" w:hAnsi="Arial" w:cs="Arial"/>
                <w:sz w:val="20"/>
                <w:szCs w:val="20"/>
              </w:rPr>
              <w:t>Website - CT;</w:t>
            </w:r>
          </w:p>
          <w:p w14:paraId="090AB168" w14:textId="59EAE920" w:rsidR="0029062F" w:rsidRPr="0029062F" w:rsidRDefault="000244F7" w:rsidP="006759FA">
            <w:pPr>
              <w:jc w:val="both"/>
              <w:rPr>
                <w:rFonts w:ascii="Arial" w:hAnsi="Arial" w:cs="Arial"/>
                <w:sz w:val="20"/>
                <w:szCs w:val="20"/>
                <w:lang w:val="en-US"/>
              </w:rPr>
            </w:pPr>
            <w:bookmarkStart w:id="6" w:name="bookmark6"/>
            <w:bookmarkEnd w:id="6"/>
            <w:r>
              <w:rPr>
                <w:rFonts w:ascii="Arial" w:hAnsi="Arial" w:cs="Arial"/>
                <w:sz w:val="20"/>
                <w:szCs w:val="20"/>
                <w:lang w:val="en-US"/>
              </w:rPr>
              <w:t xml:space="preserve">- </w:t>
            </w:r>
            <w:r w:rsidRPr="003F6046">
              <w:rPr>
                <w:rFonts w:ascii="Arial" w:hAnsi="Arial" w:cs="Arial"/>
                <w:sz w:val="20"/>
                <w:szCs w:val="20"/>
              </w:rPr>
              <w:t>Lưu: VT, CS.</w:t>
            </w:r>
          </w:p>
        </w:tc>
        <w:tc>
          <w:tcPr>
            <w:tcW w:w="2802" w:type="pct"/>
          </w:tcPr>
          <w:p w14:paraId="6F7DCBB8" w14:textId="77777777" w:rsidR="0029062F" w:rsidRDefault="006759FA" w:rsidP="006759FA">
            <w:pPr>
              <w:jc w:val="center"/>
              <w:rPr>
                <w:rFonts w:ascii="Arial" w:hAnsi="Arial" w:cs="Arial"/>
                <w:b/>
                <w:bCs/>
                <w:color w:val="auto"/>
                <w:sz w:val="20"/>
                <w:szCs w:val="20"/>
                <w:lang w:val="en-US"/>
              </w:rPr>
            </w:pPr>
            <w:r>
              <w:rPr>
                <w:rFonts w:ascii="Arial" w:hAnsi="Arial" w:cs="Arial"/>
                <w:b/>
                <w:bCs/>
                <w:color w:val="auto"/>
                <w:sz w:val="20"/>
                <w:szCs w:val="20"/>
                <w:lang w:val="en-US"/>
              </w:rPr>
              <w:t>TL. CỤC TRƯỞNG</w:t>
            </w:r>
          </w:p>
          <w:p w14:paraId="6558EF71" w14:textId="77777777" w:rsidR="006759FA" w:rsidRDefault="006759FA" w:rsidP="006759FA">
            <w:pPr>
              <w:jc w:val="center"/>
              <w:rPr>
                <w:rFonts w:ascii="Arial" w:hAnsi="Arial" w:cs="Arial"/>
                <w:b/>
                <w:bCs/>
                <w:color w:val="auto"/>
                <w:sz w:val="20"/>
                <w:szCs w:val="20"/>
                <w:lang w:val="en-US"/>
              </w:rPr>
            </w:pPr>
            <w:r>
              <w:rPr>
                <w:rFonts w:ascii="Arial" w:hAnsi="Arial" w:cs="Arial"/>
                <w:b/>
                <w:bCs/>
                <w:color w:val="auto"/>
                <w:sz w:val="20"/>
                <w:szCs w:val="20"/>
                <w:lang w:val="en-US"/>
              </w:rPr>
              <w:t>KT. TRƯỞNG BAN CHÍNH SÁCH, THUẾ QUỐC TẾ</w:t>
            </w:r>
          </w:p>
          <w:p w14:paraId="45182FD6" w14:textId="77777777" w:rsidR="006759FA" w:rsidRDefault="006759FA" w:rsidP="006759FA">
            <w:pPr>
              <w:jc w:val="center"/>
              <w:rPr>
                <w:rFonts w:ascii="Arial" w:hAnsi="Arial" w:cs="Arial"/>
                <w:b/>
                <w:bCs/>
                <w:color w:val="auto"/>
                <w:sz w:val="20"/>
                <w:szCs w:val="20"/>
                <w:lang w:val="en-US"/>
              </w:rPr>
            </w:pPr>
            <w:r>
              <w:rPr>
                <w:rFonts w:ascii="Arial" w:hAnsi="Arial" w:cs="Arial"/>
                <w:b/>
                <w:bCs/>
                <w:color w:val="auto"/>
                <w:sz w:val="20"/>
                <w:szCs w:val="20"/>
                <w:lang w:val="en-US"/>
              </w:rPr>
              <w:t>PHÓ TRƯỞNG BAN</w:t>
            </w:r>
          </w:p>
          <w:p w14:paraId="5364F083" w14:textId="77777777" w:rsidR="006759FA" w:rsidRDefault="006759FA" w:rsidP="006759FA">
            <w:pPr>
              <w:jc w:val="center"/>
              <w:rPr>
                <w:rFonts w:ascii="Arial" w:hAnsi="Arial" w:cs="Arial"/>
                <w:b/>
                <w:bCs/>
                <w:color w:val="auto"/>
                <w:sz w:val="20"/>
                <w:szCs w:val="20"/>
                <w:lang w:val="en-US"/>
              </w:rPr>
            </w:pPr>
          </w:p>
          <w:p w14:paraId="5976B74B" w14:textId="77777777" w:rsidR="006759FA" w:rsidRDefault="006759FA" w:rsidP="006759FA">
            <w:pPr>
              <w:jc w:val="center"/>
              <w:rPr>
                <w:rFonts w:ascii="Arial" w:hAnsi="Arial" w:cs="Arial"/>
                <w:b/>
                <w:bCs/>
                <w:color w:val="auto"/>
                <w:sz w:val="20"/>
                <w:szCs w:val="20"/>
                <w:lang w:val="en-US"/>
              </w:rPr>
            </w:pPr>
          </w:p>
          <w:p w14:paraId="740F3634" w14:textId="77777777" w:rsidR="006759FA" w:rsidRDefault="006759FA" w:rsidP="006759FA">
            <w:pPr>
              <w:jc w:val="center"/>
              <w:rPr>
                <w:rFonts w:ascii="Arial" w:hAnsi="Arial" w:cs="Arial"/>
                <w:b/>
                <w:bCs/>
                <w:color w:val="auto"/>
                <w:sz w:val="20"/>
                <w:szCs w:val="20"/>
                <w:lang w:val="en-US"/>
              </w:rPr>
            </w:pPr>
          </w:p>
          <w:p w14:paraId="299B9168" w14:textId="77777777" w:rsidR="006759FA" w:rsidRDefault="006759FA" w:rsidP="006759FA">
            <w:pPr>
              <w:jc w:val="center"/>
              <w:rPr>
                <w:rFonts w:ascii="Arial" w:hAnsi="Arial" w:cs="Arial"/>
                <w:b/>
                <w:bCs/>
                <w:color w:val="auto"/>
                <w:sz w:val="20"/>
                <w:szCs w:val="20"/>
                <w:lang w:val="en-US"/>
              </w:rPr>
            </w:pPr>
          </w:p>
          <w:p w14:paraId="5CC6A3BD" w14:textId="77777777" w:rsidR="006759FA" w:rsidRDefault="006759FA" w:rsidP="006759FA">
            <w:pPr>
              <w:jc w:val="center"/>
              <w:rPr>
                <w:rFonts w:ascii="Arial" w:hAnsi="Arial" w:cs="Arial"/>
                <w:b/>
                <w:bCs/>
                <w:color w:val="auto"/>
                <w:sz w:val="20"/>
                <w:szCs w:val="20"/>
                <w:lang w:val="en-US"/>
              </w:rPr>
            </w:pPr>
          </w:p>
          <w:p w14:paraId="7A44A5C4" w14:textId="7530A2AE" w:rsidR="006759FA" w:rsidRPr="0029062F" w:rsidRDefault="006759FA" w:rsidP="006759FA">
            <w:pPr>
              <w:jc w:val="center"/>
              <w:rPr>
                <w:rFonts w:ascii="Arial" w:hAnsi="Arial" w:cs="Arial"/>
                <w:b/>
                <w:bCs/>
                <w:color w:val="auto"/>
                <w:sz w:val="20"/>
                <w:szCs w:val="20"/>
                <w:lang w:val="en-US"/>
              </w:rPr>
            </w:pPr>
            <w:r>
              <w:rPr>
                <w:rFonts w:ascii="Arial" w:hAnsi="Arial" w:cs="Arial"/>
                <w:b/>
                <w:bCs/>
                <w:color w:val="auto"/>
                <w:sz w:val="20"/>
                <w:szCs w:val="20"/>
                <w:lang w:val="en-US"/>
              </w:rPr>
              <w:t xml:space="preserve">Phạm Thị Minh </w:t>
            </w:r>
            <w:proofErr w:type="spellStart"/>
            <w:r>
              <w:rPr>
                <w:rFonts w:ascii="Arial" w:hAnsi="Arial" w:cs="Arial"/>
                <w:b/>
                <w:bCs/>
                <w:color w:val="auto"/>
                <w:sz w:val="20"/>
                <w:szCs w:val="20"/>
                <w:lang w:val="en-US"/>
              </w:rPr>
              <w:t>Hiền</w:t>
            </w:r>
            <w:proofErr w:type="spellEnd"/>
          </w:p>
        </w:tc>
      </w:tr>
    </w:tbl>
    <w:p w14:paraId="08B33F9F" w14:textId="77777777" w:rsidR="00BA55D4" w:rsidRPr="003F6046" w:rsidRDefault="00BA55D4" w:rsidP="00AD10AC">
      <w:pPr>
        <w:ind w:firstLine="720"/>
        <w:jc w:val="both"/>
        <w:rPr>
          <w:rFonts w:ascii="Arial" w:hAnsi="Arial" w:cs="Arial"/>
          <w:sz w:val="20"/>
          <w:szCs w:val="20"/>
          <w:lang w:val="en-US"/>
        </w:rPr>
      </w:pPr>
    </w:p>
    <w:sectPr w:rsidR="00BA55D4" w:rsidRPr="003F6046" w:rsidSect="008F403A">
      <w:footerReference w:type="default" r:id="rId7"/>
      <w:type w:val="continuous"/>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1211B" w14:textId="77777777" w:rsidR="0032607B" w:rsidRDefault="0032607B">
      <w:r>
        <w:separator/>
      </w:r>
    </w:p>
  </w:endnote>
  <w:endnote w:type="continuationSeparator" w:id="0">
    <w:p w14:paraId="10A31475" w14:textId="77777777" w:rsidR="0032607B" w:rsidRDefault="0032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0012" w14:textId="14840F59" w:rsidR="00150973" w:rsidRDefault="00150973">
    <w:pPr>
      <w:pStyle w:val="Footer"/>
    </w:pPr>
    <w:r>
      <w:rPr>
        <w:noProof/>
      </w:rPr>
      <w:drawing>
        <wp:inline distT="0" distB="0" distL="0" distR="0" wp14:anchorId="0BD06375" wp14:editId="25FDCBE6">
          <wp:extent cx="5728970" cy="574675"/>
          <wp:effectExtent l="0" t="0" r="5080" b="0"/>
          <wp:docPr id="1553616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74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1DCD" w14:textId="77777777" w:rsidR="0032607B" w:rsidRDefault="0032607B"/>
  </w:footnote>
  <w:footnote w:type="continuationSeparator" w:id="0">
    <w:p w14:paraId="6CBB33FA" w14:textId="77777777" w:rsidR="0032607B" w:rsidRDefault="003260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C3BB6"/>
    <w:multiLevelType w:val="multilevel"/>
    <w:tmpl w:val="F3522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669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232"/>
    <w:rsid w:val="00016648"/>
    <w:rsid w:val="000244F7"/>
    <w:rsid w:val="00100EC3"/>
    <w:rsid w:val="00150973"/>
    <w:rsid w:val="00167D9B"/>
    <w:rsid w:val="00192F95"/>
    <w:rsid w:val="00197DFD"/>
    <w:rsid w:val="0029062F"/>
    <w:rsid w:val="002C3377"/>
    <w:rsid w:val="003235FD"/>
    <w:rsid w:val="0032607B"/>
    <w:rsid w:val="003F6046"/>
    <w:rsid w:val="004215ED"/>
    <w:rsid w:val="0048205F"/>
    <w:rsid w:val="0050584E"/>
    <w:rsid w:val="006362F5"/>
    <w:rsid w:val="006759FA"/>
    <w:rsid w:val="007A16B2"/>
    <w:rsid w:val="008259E0"/>
    <w:rsid w:val="008C21D3"/>
    <w:rsid w:val="008E2232"/>
    <w:rsid w:val="008F403A"/>
    <w:rsid w:val="009B34AE"/>
    <w:rsid w:val="00A8519D"/>
    <w:rsid w:val="00AD10AC"/>
    <w:rsid w:val="00BA55D4"/>
    <w:rsid w:val="00CA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C0CE6"/>
  <w15:docId w15:val="{2A979FD3-9CCE-4B4B-AAC3-63DEC391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47"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rPr>
      <w:rFonts w:ascii="Times New Roman" w:eastAsia="Times New Roman" w:hAnsi="Times New Roman" w:cs="Times New Roman"/>
      <w:sz w:val="18"/>
      <w:szCs w:val="18"/>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F6046"/>
    <w:pPr>
      <w:tabs>
        <w:tab w:val="center" w:pos="4680"/>
        <w:tab w:val="right" w:pos="9360"/>
      </w:tabs>
    </w:pPr>
  </w:style>
  <w:style w:type="character" w:customStyle="1" w:styleId="HeaderChar">
    <w:name w:val="Header Char"/>
    <w:basedOn w:val="DefaultParagraphFont"/>
    <w:link w:val="Header"/>
    <w:uiPriority w:val="99"/>
    <w:rsid w:val="003F6046"/>
    <w:rPr>
      <w:color w:val="000000"/>
    </w:rPr>
  </w:style>
  <w:style w:type="paragraph" w:styleId="Footer">
    <w:name w:val="footer"/>
    <w:basedOn w:val="Normal"/>
    <w:link w:val="FooterChar"/>
    <w:uiPriority w:val="99"/>
    <w:unhideWhenUsed/>
    <w:rsid w:val="003F6046"/>
    <w:pPr>
      <w:tabs>
        <w:tab w:val="center" w:pos="4680"/>
        <w:tab w:val="right" w:pos="9360"/>
      </w:tabs>
    </w:pPr>
  </w:style>
  <w:style w:type="character" w:customStyle="1" w:styleId="FooterChar">
    <w:name w:val="Footer Char"/>
    <w:basedOn w:val="DefaultParagraphFont"/>
    <w:link w:val="Footer"/>
    <w:uiPriority w:val="99"/>
    <w:rsid w:val="003F604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97229">
      <w:bodyDiv w:val="1"/>
      <w:marLeft w:val="0"/>
      <w:marRight w:val="0"/>
      <w:marTop w:val="0"/>
      <w:marBottom w:val="0"/>
      <w:divBdr>
        <w:top w:val="none" w:sz="0" w:space="0" w:color="auto"/>
        <w:left w:val="none" w:sz="0" w:space="0" w:color="auto"/>
        <w:bottom w:val="none" w:sz="0" w:space="0" w:color="auto"/>
        <w:right w:val="none" w:sz="0" w:space="0" w:color="auto"/>
      </w:divBdr>
    </w:div>
    <w:div w:id="392775327">
      <w:bodyDiv w:val="1"/>
      <w:marLeft w:val="0"/>
      <w:marRight w:val="0"/>
      <w:marTop w:val="0"/>
      <w:marBottom w:val="0"/>
      <w:divBdr>
        <w:top w:val="none" w:sz="0" w:space="0" w:color="auto"/>
        <w:left w:val="none" w:sz="0" w:space="0" w:color="auto"/>
        <w:bottom w:val="none" w:sz="0" w:space="0" w:color="auto"/>
        <w:right w:val="none" w:sz="0" w:space="0" w:color="auto"/>
      </w:divBdr>
    </w:div>
    <w:div w:id="410859036">
      <w:bodyDiv w:val="1"/>
      <w:marLeft w:val="0"/>
      <w:marRight w:val="0"/>
      <w:marTop w:val="0"/>
      <w:marBottom w:val="0"/>
      <w:divBdr>
        <w:top w:val="none" w:sz="0" w:space="0" w:color="auto"/>
        <w:left w:val="none" w:sz="0" w:space="0" w:color="auto"/>
        <w:bottom w:val="none" w:sz="0" w:space="0" w:color="auto"/>
        <w:right w:val="none" w:sz="0" w:space="0" w:color="auto"/>
      </w:divBdr>
    </w:div>
    <w:div w:id="675571436">
      <w:bodyDiv w:val="1"/>
      <w:marLeft w:val="0"/>
      <w:marRight w:val="0"/>
      <w:marTop w:val="0"/>
      <w:marBottom w:val="0"/>
      <w:divBdr>
        <w:top w:val="none" w:sz="0" w:space="0" w:color="auto"/>
        <w:left w:val="none" w:sz="0" w:space="0" w:color="auto"/>
        <w:bottom w:val="none" w:sz="0" w:space="0" w:color="auto"/>
        <w:right w:val="none" w:sz="0" w:space="0" w:color="auto"/>
      </w:divBdr>
    </w:div>
    <w:div w:id="726146893">
      <w:bodyDiv w:val="1"/>
      <w:marLeft w:val="0"/>
      <w:marRight w:val="0"/>
      <w:marTop w:val="0"/>
      <w:marBottom w:val="0"/>
      <w:divBdr>
        <w:top w:val="none" w:sz="0" w:space="0" w:color="auto"/>
        <w:left w:val="none" w:sz="0" w:space="0" w:color="auto"/>
        <w:bottom w:val="none" w:sz="0" w:space="0" w:color="auto"/>
        <w:right w:val="none" w:sz="0" w:space="0" w:color="auto"/>
      </w:divBdr>
    </w:div>
    <w:div w:id="1361399880">
      <w:bodyDiv w:val="1"/>
      <w:marLeft w:val="0"/>
      <w:marRight w:val="0"/>
      <w:marTop w:val="0"/>
      <w:marBottom w:val="0"/>
      <w:divBdr>
        <w:top w:val="none" w:sz="0" w:space="0" w:color="auto"/>
        <w:left w:val="none" w:sz="0" w:space="0" w:color="auto"/>
        <w:bottom w:val="none" w:sz="0" w:space="0" w:color="auto"/>
        <w:right w:val="none" w:sz="0" w:space="0" w:color="auto"/>
      </w:divBdr>
    </w:div>
    <w:div w:id="1429502692">
      <w:bodyDiv w:val="1"/>
      <w:marLeft w:val="0"/>
      <w:marRight w:val="0"/>
      <w:marTop w:val="0"/>
      <w:marBottom w:val="0"/>
      <w:divBdr>
        <w:top w:val="none" w:sz="0" w:space="0" w:color="auto"/>
        <w:left w:val="none" w:sz="0" w:space="0" w:color="auto"/>
        <w:bottom w:val="none" w:sz="0" w:space="0" w:color="auto"/>
        <w:right w:val="none" w:sz="0" w:space="0" w:color="auto"/>
      </w:divBdr>
    </w:div>
    <w:div w:id="1650548768">
      <w:bodyDiv w:val="1"/>
      <w:marLeft w:val="0"/>
      <w:marRight w:val="0"/>
      <w:marTop w:val="0"/>
      <w:marBottom w:val="0"/>
      <w:divBdr>
        <w:top w:val="none" w:sz="0" w:space="0" w:color="auto"/>
        <w:left w:val="none" w:sz="0" w:space="0" w:color="auto"/>
        <w:bottom w:val="none" w:sz="0" w:space="0" w:color="auto"/>
        <w:right w:val="none" w:sz="0" w:space="0" w:color="auto"/>
      </w:divBdr>
    </w:div>
    <w:div w:id="211342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2172</Characters>
  <Application>Microsoft Office Word</Application>
  <DocSecurity>0</DocSecurity>
  <Lines>65</Lines>
  <Paragraphs>33</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3</cp:revision>
  <dcterms:created xsi:type="dcterms:W3CDTF">2025-03-19T04:42:00Z</dcterms:created>
  <dcterms:modified xsi:type="dcterms:W3CDTF">2025-03-19T04:42:00Z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11d5c1eb461a8b83d91f24fa72e616fb62ec02f0a634ab5e1c81622bfe3e7e1c</vt:lpwstr>
  </property>
</Properties>
</file>